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napToGrid w:val="0"/>
        <w:spacing w:line="360" w:lineRule="auto"/>
        <w:jc w:val="left"/>
        <w:outlineLvl w:val="0"/>
        <w:rPr>
          <w:rFonts w:ascii="宋体" w:hAnsi="宋体"/>
          <w:color w:val="000000"/>
          <w:sz w:val="32"/>
          <w:szCs w:val="32"/>
        </w:rPr>
      </w:pPr>
      <w:bookmarkStart w:id="0" w:name="_Toc530473016"/>
      <w:r>
        <w:rPr>
          <w:rFonts w:hint="eastAsia" w:ascii="黑体" w:hAnsi="黑体" w:eastAsia="黑体" w:cs="黑体"/>
          <w:bCs/>
          <w:color w:val="000000"/>
          <w:sz w:val="32"/>
          <w:szCs w:val="32"/>
        </w:rPr>
        <w:t>附件1</w:t>
      </w:r>
    </w:p>
    <w:p>
      <w:pPr>
        <w:spacing w:line="100" w:lineRule="exact"/>
        <w:jc w:val="center"/>
        <w:outlineLvl w:val="0"/>
        <w:rPr>
          <w:rFonts w:ascii="宋体" w:hAnsi="宋体"/>
          <w:color w:val="000000"/>
          <w:sz w:val="36"/>
          <w:szCs w:val="36"/>
        </w:rPr>
      </w:pPr>
    </w:p>
    <w:bookmarkEnd w:id="0"/>
    <w:p>
      <w:pPr>
        <w:spacing w:line="74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2022年度海南省科学技术奖提名公示内容</w:t>
      </w:r>
    </w:p>
    <w:p>
      <w:pPr>
        <w:spacing w:line="100" w:lineRule="exact"/>
        <w:jc w:val="center"/>
        <w:rPr>
          <w:rFonts w:ascii="仿宋_GB2312" w:hAnsi="仿宋_GB2312" w:eastAsia="仿宋_GB2312" w:cs="仿宋_GB2312"/>
          <w:color w:val="000000"/>
          <w:sz w:val="32"/>
          <w:szCs w:val="32"/>
        </w:rPr>
      </w:pPr>
    </w:p>
    <w:p>
      <w:pPr>
        <w:spacing w:line="440" w:lineRule="exact"/>
        <w:outlineLvl w:val="1"/>
        <w:rPr>
          <w:rFonts w:eastAsia="仿宋_GB2312"/>
          <w:sz w:val="28"/>
          <w:szCs w:val="24"/>
        </w:rPr>
      </w:pPr>
      <w:r>
        <w:rPr>
          <w:rFonts w:eastAsia="仿宋_GB2312"/>
          <w:sz w:val="28"/>
          <w:szCs w:val="24"/>
        </w:rPr>
        <w:t>提名奖项：自然科学奖、技术发明奖、科学技术进步奖</w:t>
      </w:r>
      <w:r>
        <w:rPr>
          <w:rFonts w:hint="eastAsia" w:eastAsia="仿宋_GB2312"/>
          <w:sz w:val="28"/>
          <w:szCs w:val="24"/>
        </w:rPr>
        <w:t>（公示7个工作日）</w:t>
      </w:r>
    </w:p>
    <w:p>
      <w:pPr>
        <w:spacing w:line="440" w:lineRule="exact"/>
        <w:outlineLvl w:val="1"/>
        <w:rPr>
          <w:rFonts w:eastAsia="仿宋_GB2312"/>
          <w:sz w:val="28"/>
          <w:szCs w:val="24"/>
        </w:rPr>
      </w:pPr>
    </w:p>
    <w:tbl>
      <w:tblPr>
        <w:tblStyle w:val="4"/>
        <w:tblW w:w="90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2269" w:type="dxa"/>
            <w:vAlign w:val="center"/>
          </w:tcPr>
          <w:p>
            <w:pPr>
              <w:jc w:val="center"/>
              <w:rPr>
                <w:rStyle w:val="6"/>
                <w:rFonts w:eastAsia="仿宋_GB2312"/>
                <w:b w:val="0"/>
                <w:color w:val="auto"/>
                <w:sz w:val="28"/>
              </w:rPr>
            </w:pPr>
            <w:r>
              <w:rPr>
                <w:rStyle w:val="6"/>
                <w:rFonts w:hint="eastAsia" w:eastAsia="仿宋_GB2312"/>
                <w:b w:val="0"/>
                <w:bCs w:val="0"/>
                <w:color w:val="auto"/>
                <w:sz w:val="28"/>
              </w:rPr>
              <w:t>项目</w:t>
            </w:r>
            <w:r>
              <w:rPr>
                <w:rStyle w:val="6"/>
                <w:rFonts w:eastAsia="仿宋_GB2312"/>
                <w:b w:val="0"/>
                <w:bCs w:val="0"/>
                <w:color w:val="auto"/>
                <w:sz w:val="28"/>
              </w:rPr>
              <w:t>名称</w:t>
            </w:r>
          </w:p>
        </w:tc>
        <w:tc>
          <w:tcPr>
            <w:tcW w:w="6755" w:type="dxa"/>
            <w:vAlign w:val="center"/>
          </w:tcPr>
          <w:p>
            <w:pPr>
              <w:jc w:val="center"/>
              <w:rPr>
                <w:rStyle w:val="6"/>
                <w:rFonts w:eastAsia="仿宋"/>
                <w:b w:val="0"/>
                <w:color w:val="auto"/>
                <w:sz w:val="28"/>
                <w:szCs w:val="28"/>
              </w:rPr>
            </w:pPr>
            <w:bookmarkStart w:id="1" w:name="_Hlk121417832"/>
            <w:r>
              <w:rPr>
                <w:rStyle w:val="6"/>
                <w:rFonts w:eastAsia="仿宋"/>
                <w:b w:val="0"/>
                <w:color w:val="auto"/>
                <w:sz w:val="28"/>
                <w:szCs w:val="28"/>
              </w:rPr>
              <w:t>赭曲霉毒素A纳米抗体创制及其快速检测技术研究</w:t>
            </w:r>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2269" w:type="dxa"/>
            <w:vAlign w:val="center"/>
          </w:tcPr>
          <w:p>
            <w:pPr>
              <w:jc w:val="center"/>
              <w:rPr>
                <w:rStyle w:val="6"/>
                <w:rFonts w:eastAsia="仿宋_GB2312"/>
                <w:b w:val="0"/>
                <w:color w:val="auto"/>
                <w:sz w:val="28"/>
              </w:rPr>
            </w:pPr>
            <w:r>
              <w:rPr>
                <w:rStyle w:val="6"/>
                <w:rFonts w:eastAsia="仿宋_GB2312"/>
                <w:b w:val="0"/>
                <w:bCs w:val="0"/>
                <w:color w:val="auto"/>
                <w:sz w:val="28"/>
              </w:rPr>
              <w:t>提名等级</w:t>
            </w:r>
          </w:p>
        </w:tc>
        <w:tc>
          <w:tcPr>
            <w:tcW w:w="6755" w:type="dxa"/>
            <w:vAlign w:val="center"/>
          </w:tcPr>
          <w:p>
            <w:pPr>
              <w:jc w:val="center"/>
              <w:rPr>
                <w:rStyle w:val="6"/>
                <w:rFonts w:eastAsia="仿宋"/>
                <w:b w:val="0"/>
                <w:color w:val="auto"/>
                <w:sz w:val="28"/>
                <w:szCs w:val="28"/>
              </w:rPr>
            </w:pPr>
            <w:r>
              <w:rPr>
                <w:rStyle w:val="6"/>
                <w:rFonts w:eastAsia="仿宋"/>
                <w:b w:val="0"/>
                <w:color w:val="auto"/>
                <w:sz w:val="28"/>
                <w:szCs w:val="28"/>
              </w:rPr>
              <w:t>海南省自然科学奖二等奖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jc w:val="center"/>
        </w:trPr>
        <w:tc>
          <w:tcPr>
            <w:tcW w:w="2269" w:type="dxa"/>
            <w:vAlign w:val="center"/>
          </w:tcPr>
          <w:p>
            <w:pPr>
              <w:jc w:val="center"/>
              <w:rPr>
                <w:rFonts w:eastAsia="仿宋_GB2312"/>
                <w:bCs/>
                <w:sz w:val="28"/>
                <w:szCs w:val="28"/>
                <w:lang w:val="en"/>
              </w:rPr>
            </w:pPr>
            <w:r>
              <w:rPr>
                <w:rStyle w:val="6"/>
                <w:rFonts w:eastAsia="仿宋_GB2312"/>
                <w:b w:val="0"/>
                <w:color w:val="auto"/>
                <w:sz w:val="28"/>
                <w:szCs w:val="28"/>
              </w:rPr>
              <w:t>提名单位</w:t>
            </w:r>
          </w:p>
        </w:tc>
        <w:tc>
          <w:tcPr>
            <w:tcW w:w="6755" w:type="dxa"/>
            <w:vAlign w:val="center"/>
          </w:tcPr>
          <w:p>
            <w:pPr>
              <w:contextualSpacing/>
              <w:jc w:val="center"/>
              <w:rPr>
                <w:rFonts w:eastAsia="仿宋"/>
                <w:bCs/>
                <w:sz w:val="28"/>
                <w:szCs w:val="28"/>
              </w:rPr>
            </w:pPr>
            <w:r>
              <w:rPr>
                <w:rFonts w:eastAsia="仿宋"/>
                <w:sz w:val="28"/>
                <w:szCs w:val="28"/>
                <w:lang w:val="en"/>
              </w:rPr>
              <w:t>海南大学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2269" w:type="dxa"/>
            <w:vAlign w:val="center"/>
          </w:tcPr>
          <w:p>
            <w:pPr>
              <w:jc w:val="center"/>
              <w:rPr>
                <w:rFonts w:eastAsia="仿宋_GB2312"/>
                <w:bCs/>
                <w:sz w:val="28"/>
                <w:szCs w:val="28"/>
              </w:rPr>
            </w:pPr>
            <w:r>
              <w:rPr>
                <w:rStyle w:val="6"/>
                <w:rFonts w:eastAsia="仿宋_GB2312"/>
                <w:b w:val="0"/>
                <w:color w:val="auto"/>
                <w:sz w:val="28"/>
                <w:szCs w:val="28"/>
              </w:rPr>
              <w:t>提名意见</w:t>
            </w:r>
          </w:p>
        </w:tc>
        <w:tc>
          <w:tcPr>
            <w:tcW w:w="6755" w:type="dxa"/>
            <w:vAlign w:val="center"/>
          </w:tcPr>
          <w:p>
            <w:pPr>
              <w:ind w:firstLine="480" w:firstLineChars="200"/>
              <w:contextualSpacing/>
              <w:rPr>
                <w:rFonts w:eastAsia="仿宋"/>
                <w:bCs/>
                <w:sz w:val="24"/>
                <w:szCs w:val="24"/>
              </w:rPr>
            </w:pPr>
            <w:r>
              <w:rPr>
                <w:rFonts w:eastAsia="仿宋"/>
                <w:bCs/>
                <w:sz w:val="24"/>
                <w:szCs w:val="24"/>
              </w:rPr>
              <w:t>我单位认真阅读了该项目提名书及附件材料，确认材料内容真实，附件齐全，完成人员排序合理，相关内容均符合申报海南科学技术奖的填写要求。</w:t>
            </w:r>
          </w:p>
          <w:p>
            <w:pPr>
              <w:ind w:firstLine="480" w:firstLineChars="200"/>
              <w:contextualSpacing/>
              <w:rPr>
                <w:rFonts w:eastAsia="仿宋"/>
                <w:bCs/>
                <w:sz w:val="24"/>
                <w:szCs w:val="24"/>
              </w:rPr>
            </w:pPr>
            <w:r>
              <w:rPr>
                <w:rFonts w:hint="eastAsia" w:eastAsia="仿宋"/>
                <w:bCs/>
                <w:sz w:val="24"/>
                <w:szCs w:val="24"/>
              </w:rPr>
              <w:t>该项目创制了</w:t>
            </w:r>
            <w:r>
              <w:rPr>
                <w:rFonts w:eastAsia="仿宋"/>
                <w:bCs/>
                <w:sz w:val="24"/>
                <w:szCs w:val="24"/>
              </w:rPr>
              <w:t>赭曲霉毒素A</w:t>
            </w:r>
            <w:r>
              <w:rPr>
                <w:rFonts w:hint="eastAsia" w:eastAsia="仿宋"/>
                <w:bCs/>
                <w:sz w:val="24"/>
                <w:szCs w:val="24"/>
              </w:rPr>
              <w:t>的高灵敏特异性纳米抗体，在此基础上，项目解析了该纳米抗体特异性识别</w:t>
            </w:r>
            <w:r>
              <w:rPr>
                <w:rFonts w:eastAsia="仿宋"/>
                <w:bCs/>
                <w:sz w:val="24"/>
                <w:szCs w:val="24"/>
              </w:rPr>
              <w:t>赭曲霉毒素A</w:t>
            </w:r>
            <w:r>
              <w:rPr>
                <w:rFonts w:hint="eastAsia" w:eastAsia="仿宋"/>
                <w:bCs/>
                <w:sz w:val="24"/>
                <w:szCs w:val="24"/>
              </w:rPr>
              <w:t>的分子机制，并开发了膜印记可视化一步式免疫分析法、一步式荧光免疫分析法、荧光共振能量转移免疫传感器等一系列高灵敏、快速检测谷物中</w:t>
            </w:r>
            <w:r>
              <w:rPr>
                <w:rFonts w:eastAsia="仿宋"/>
                <w:bCs/>
                <w:sz w:val="24"/>
                <w:szCs w:val="24"/>
              </w:rPr>
              <w:t>赭曲霉毒素A</w:t>
            </w:r>
            <w:r>
              <w:rPr>
                <w:rFonts w:hint="eastAsia" w:eastAsia="仿宋"/>
                <w:bCs/>
                <w:sz w:val="24"/>
                <w:szCs w:val="24"/>
              </w:rPr>
              <w:t>的免疫分析方法。研究成果为食品中以真菌毒素为代表的小分子有毒有害物的快速灵敏检测提供模式依据，对于保障海南省热带农产品质量安全具有重要意义。</w:t>
            </w:r>
          </w:p>
          <w:p>
            <w:pPr>
              <w:ind w:firstLine="480" w:firstLineChars="200"/>
              <w:contextualSpacing/>
              <w:rPr>
                <w:rFonts w:ascii="仿宋" w:hAnsi="仿宋" w:eastAsia="仿宋"/>
                <w:bCs/>
                <w:sz w:val="24"/>
                <w:szCs w:val="24"/>
              </w:rPr>
            </w:pPr>
            <w:r>
              <w:rPr>
                <w:rFonts w:hint="eastAsia" w:ascii="仿宋" w:hAnsi="仿宋" w:eastAsia="仿宋"/>
                <w:bCs/>
                <w:sz w:val="24"/>
                <w:szCs w:val="24"/>
              </w:rPr>
              <w:t>综上所述，提名该项目为海南省自然科学奖二等奖。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3" w:hRule="atLeast"/>
          <w:jc w:val="center"/>
        </w:trPr>
        <w:tc>
          <w:tcPr>
            <w:tcW w:w="2269" w:type="dxa"/>
            <w:tcBorders>
              <w:right w:val="single" w:color="auto" w:sz="4" w:space="0"/>
            </w:tcBorders>
            <w:vAlign w:val="center"/>
          </w:tcPr>
          <w:p>
            <w:pPr>
              <w:spacing w:line="440" w:lineRule="exact"/>
              <w:jc w:val="center"/>
              <w:rPr>
                <w:rFonts w:eastAsia="仿宋_GB2312"/>
                <w:bCs/>
                <w:sz w:val="28"/>
                <w:szCs w:val="24"/>
              </w:rPr>
            </w:pPr>
            <w:r>
              <w:rPr>
                <w:rFonts w:hint="eastAsia" w:eastAsia="仿宋_GB2312"/>
                <w:bCs/>
                <w:sz w:val="28"/>
                <w:szCs w:val="24"/>
              </w:rPr>
              <w:t>项目简介</w:t>
            </w:r>
          </w:p>
        </w:tc>
        <w:tc>
          <w:tcPr>
            <w:tcW w:w="6755" w:type="dxa"/>
            <w:tcBorders>
              <w:left w:val="single" w:color="auto" w:sz="4" w:space="0"/>
            </w:tcBorders>
            <w:vAlign w:val="center"/>
          </w:tcPr>
          <w:p>
            <w:pPr>
              <w:ind w:firstLine="480" w:firstLineChars="200"/>
              <w:rPr>
                <w:rFonts w:eastAsia="仿宋"/>
                <w:bCs/>
                <w:sz w:val="24"/>
                <w:szCs w:val="24"/>
              </w:rPr>
            </w:pPr>
            <w:r>
              <w:rPr>
                <w:rFonts w:eastAsia="仿宋"/>
                <w:bCs/>
                <w:sz w:val="24"/>
                <w:szCs w:val="24"/>
              </w:rPr>
              <w:t>赭曲霉毒素A是一种由青霉素属和曲霉属的某些菌种产生的真菌毒素，主要污染谷物及其制品，具有神经毒性、肝肾毒性等多种毒性作用。建立谷物中赭曲霉毒素A污染残留的有效监控和检测方法是防止其造成食品安全问题的重要手段。免疫分析法具有快速、灵敏等特点，适合大批量样本的筛查。</w:t>
            </w:r>
            <w:r>
              <w:rPr>
                <w:rFonts w:hint="eastAsia" w:eastAsia="仿宋"/>
                <w:bCs/>
                <w:sz w:val="24"/>
                <w:szCs w:val="24"/>
              </w:rPr>
              <w:t>该项目创制了</w:t>
            </w:r>
            <w:r>
              <w:rPr>
                <w:rFonts w:eastAsia="仿宋"/>
                <w:bCs/>
                <w:sz w:val="24"/>
                <w:szCs w:val="24"/>
              </w:rPr>
              <w:t>赭曲霉毒素A</w:t>
            </w:r>
            <w:r>
              <w:rPr>
                <w:rFonts w:hint="eastAsia" w:eastAsia="仿宋"/>
                <w:bCs/>
                <w:sz w:val="24"/>
                <w:szCs w:val="24"/>
              </w:rPr>
              <w:t>的高灵敏特异性纳米抗体，相较于</w:t>
            </w:r>
            <w:r>
              <w:rPr>
                <w:rFonts w:eastAsia="仿宋"/>
                <w:bCs/>
                <w:sz w:val="24"/>
                <w:szCs w:val="24"/>
              </w:rPr>
              <w:t>免疫分析法广泛采用的</w:t>
            </w:r>
            <w:r>
              <w:rPr>
                <w:rFonts w:hint="eastAsia" w:eastAsia="仿宋"/>
                <w:bCs/>
                <w:sz w:val="24"/>
                <w:szCs w:val="24"/>
              </w:rPr>
              <w:t>鼠源</w:t>
            </w:r>
            <w:r>
              <w:rPr>
                <w:rFonts w:eastAsia="仿宋"/>
                <w:bCs/>
                <w:sz w:val="24"/>
                <w:szCs w:val="24"/>
              </w:rPr>
              <w:t>单克隆抗体存在制备成本</w:t>
            </w:r>
            <w:r>
              <w:rPr>
                <w:rFonts w:hint="eastAsia" w:eastAsia="仿宋"/>
                <w:bCs/>
                <w:sz w:val="24"/>
                <w:szCs w:val="24"/>
              </w:rPr>
              <w:t>低、</w:t>
            </w:r>
            <w:r>
              <w:rPr>
                <w:rFonts w:eastAsia="仿宋"/>
                <w:bCs/>
                <w:sz w:val="24"/>
                <w:szCs w:val="24"/>
              </w:rPr>
              <w:t>水溶性好、稳定性高</w:t>
            </w:r>
            <w:r>
              <w:rPr>
                <w:rFonts w:hint="eastAsia" w:eastAsia="仿宋"/>
                <w:bCs/>
                <w:sz w:val="24"/>
                <w:szCs w:val="24"/>
              </w:rPr>
              <w:t>、易于遗传改造</w:t>
            </w:r>
            <w:r>
              <w:rPr>
                <w:rFonts w:eastAsia="仿宋"/>
                <w:bCs/>
                <w:sz w:val="24"/>
                <w:szCs w:val="24"/>
              </w:rPr>
              <w:t>等</w:t>
            </w:r>
            <w:r>
              <w:rPr>
                <w:rFonts w:hint="eastAsia" w:eastAsia="仿宋"/>
                <w:bCs/>
                <w:sz w:val="24"/>
                <w:szCs w:val="24"/>
              </w:rPr>
              <w:t>优点。在此基础上，项目解析了该纳米抗体特异性识别</w:t>
            </w:r>
            <w:r>
              <w:rPr>
                <w:rFonts w:eastAsia="仿宋"/>
                <w:bCs/>
                <w:sz w:val="24"/>
                <w:szCs w:val="24"/>
              </w:rPr>
              <w:t>赭曲霉毒素A</w:t>
            </w:r>
            <w:r>
              <w:rPr>
                <w:rFonts w:hint="eastAsia" w:eastAsia="仿宋"/>
                <w:bCs/>
                <w:sz w:val="24"/>
                <w:szCs w:val="24"/>
              </w:rPr>
              <w:t>的分子机制，并开发了膜印记可视化一步式免疫分析法、一步式荧光免疫分析法、荧光共振能量转移（F</w:t>
            </w:r>
            <w:r>
              <w:rPr>
                <w:rFonts w:eastAsia="仿宋"/>
                <w:bCs/>
                <w:sz w:val="24"/>
                <w:szCs w:val="24"/>
              </w:rPr>
              <w:t>RET</w:t>
            </w:r>
            <w:r>
              <w:rPr>
                <w:rFonts w:hint="eastAsia" w:eastAsia="仿宋"/>
                <w:bCs/>
                <w:sz w:val="24"/>
                <w:szCs w:val="24"/>
              </w:rPr>
              <w:t>）免疫传感器等一系列高灵敏、快速检测谷物中</w:t>
            </w:r>
            <w:r>
              <w:rPr>
                <w:rFonts w:eastAsia="仿宋"/>
                <w:bCs/>
                <w:sz w:val="24"/>
                <w:szCs w:val="24"/>
              </w:rPr>
              <w:t>赭曲霉毒素A</w:t>
            </w:r>
            <w:r>
              <w:rPr>
                <w:rFonts w:hint="eastAsia" w:eastAsia="仿宋"/>
                <w:bCs/>
                <w:sz w:val="24"/>
                <w:szCs w:val="24"/>
              </w:rPr>
              <w:t>的免疫分析方法。研究成果为食品中以真菌毒素为代表的小分子有毒有害物的快速灵敏检测提供模式依据，对于保障海南省热带农产品质量安全具有重要意义。</w:t>
            </w:r>
          </w:p>
          <w:p>
            <w:pPr>
              <w:ind w:firstLine="480" w:firstLineChars="200"/>
              <w:rPr>
                <w:rFonts w:eastAsia="仿宋"/>
                <w:bCs/>
                <w:sz w:val="24"/>
                <w:szCs w:val="24"/>
              </w:rPr>
            </w:pPr>
            <w:r>
              <w:rPr>
                <w:rFonts w:hint="eastAsia" w:eastAsia="仿宋"/>
                <w:bCs/>
                <w:sz w:val="24"/>
                <w:szCs w:val="24"/>
              </w:rPr>
              <w:t>该项目在理论和科学发现方面主要取得如下创新成果：</w:t>
            </w:r>
          </w:p>
          <w:p>
            <w:pPr>
              <w:rPr>
                <w:rFonts w:eastAsia="仿宋"/>
                <w:bCs/>
                <w:sz w:val="24"/>
                <w:szCs w:val="24"/>
              </w:rPr>
            </w:pPr>
            <w:r>
              <w:rPr>
                <w:rFonts w:hint="eastAsia" w:eastAsia="仿宋"/>
                <w:bCs/>
                <w:sz w:val="24"/>
                <w:szCs w:val="24"/>
              </w:rPr>
              <w:t>一、创制了高灵敏、特异性识别赭曲霉毒素A的纳米抗体，该纳米抗体在复杂食品基质中具有优于鼠源单克隆抗体的抗基质干扰能力，能够有效提高免疫分析的灵敏度和准确性。</w:t>
            </w:r>
          </w:p>
          <w:p>
            <w:pPr>
              <w:rPr>
                <w:rFonts w:eastAsia="仿宋"/>
                <w:bCs/>
                <w:sz w:val="24"/>
                <w:szCs w:val="24"/>
              </w:rPr>
            </w:pPr>
            <w:r>
              <w:rPr>
                <w:rFonts w:hint="eastAsia" w:eastAsia="仿宋"/>
                <w:bCs/>
                <w:sz w:val="24"/>
                <w:szCs w:val="24"/>
              </w:rPr>
              <w:t>二、相较于鼠源单克隆抗体，纳米抗体的微小尺寸能够极大地缩短供受体间的有效F</w:t>
            </w:r>
            <w:r>
              <w:rPr>
                <w:rFonts w:eastAsia="仿宋"/>
                <w:bCs/>
                <w:sz w:val="24"/>
                <w:szCs w:val="24"/>
              </w:rPr>
              <w:t>RET</w:t>
            </w:r>
            <w:r>
              <w:rPr>
                <w:rFonts w:hint="eastAsia" w:eastAsia="仿宋"/>
                <w:bCs/>
                <w:sz w:val="24"/>
                <w:szCs w:val="24"/>
              </w:rPr>
              <w:t>距离并提高F</w:t>
            </w:r>
            <w:r>
              <w:rPr>
                <w:rFonts w:eastAsia="仿宋"/>
                <w:bCs/>
                <w:sz w:val="24"/>
                <w:szCs w:val="24"/>
              </w:rPr>
              <w:t>RET</w:t>
            </w:r>
            <w:r>
              <w:rPr>
                <w:rFonts w:hint="eastAsia" w:eastAsia="仿宋"/>
                <w:bCs/>
                <w:sz w:val="24"/>
                <w:szCs w:val="24"/>
              </w:rPr>
              <w:t>效率，进而提高F</w:t>
            </w:r>
            <w:r>
              <w:rPr>
                <w:rFonts w:eastAsia="仿宋"/>
                <w:bCs/>
                <w:sz w:val="24"/>
                <w:szCs w:val="24"/>
              </w:rPr>
              <w:t>RET</w:t>
            </w:r>
            <w:r>
              <w:rPr>
                <w:rFonts w:hint="eastAsia" w:eastAsia="仿宋"/>
                <w:bCs/>
                <w:sz w:val="24"/>
                <w:szCs w:val="24"/>
              </w:rPr>
              <w:t>免疫分析法的灵敏度。此外，相较于非均相免疫分析法，基于F</w:t>
            </w:r>
            <w:r>
              <w:rPr>
                <w:rFonts w:eastAsia="仿宋"/>
                <w:bCs/>
                <w:sz w:val="24"/>
                <w:szCs w:val="24"/>
              </w:rPr>
              <w:t>RET</w:t>
            </w:r>
            <w:r>
              <w:rPr>
                <w:rFonts w:hint="eastAsia" w:eastAsia="仿宋"/>
                <w:bCs/>
                <w:sz w:val="24"/>
                <w:szCs w:val="24"/>
              </w:rPr>
              <w:t>的均相免疫分析法避免了重复洗涤、孵育等步骤，实现了一步、超灵敏检测，对于现场快速分析具有重要意义。</w:t>
            </w:r>
          </w:p>
          <w:p>
            <w:pPr>
              <w:rPr>
                <w:rFonts w:eastAsia="仿宋"/>
                <w:bCs/>
                <w:sz w:val="24"/>
                <w:szCs w:val="24"/>
              </w:rPr>
            </w:pPr>
            <w:r>
              <w:rPr>
                <w:rFonts w:hint="eastAsia" w:eastAsia="仿宋"/>
                <w:bCs/>
                <w:sz w:val="24"/>
                <w:szCs w:val="24"/>
              </w:rPr>
              <w:t>三、利用纳米抗体易于遗传改造和微生物生产的特点，在微生物体内实现了对纳米抗体的精准定量酶标记和生物素标记，为食品安全快速检测提供了新型绿色检测工具。</w:t>
            </w:r>
          </w:p>
          <w:p>
            <w:pPr>
              <w:rPr>
                <w:rFonts w:hint="eastAsia" w:eastAsia="仿宋"/>
                <w:bCs/>
                <w:sz w:val="24"/>
                <w:szCs w:val="24"/>
              </w:rPr>
            </w:pPr>
            <w:r>
              <w:rPr>
                <w:rFonts w:hint="eastAsia" w:eastAsia="仿宋"/>
                <w:bCs/>
                <w:sz w:val="24"/>
                <w:szCs w:val="24"/>
              </w:rPr>
              <w:t>四、利用同源建模和分子对接技术，并结合定向饱和突变技术，解析了纳米抗体高灵敏特异性识别赭曲霉毒素A的分子机制，通过体外亲和力成熟获得了具有更高亲和力的纳米抗体突变子，为其他小分子纳米抗体的定向进化提供模式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jc w:val="center"/>
        </w:trPr>
        <w:tc>
          <w:tcPr>
            <w:tcW w:w="2269"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提名书</w:t>
            </w:r>
          </w:p>
          <w:p>
            <w:pPr>
              <w:spacing w:line="440" w:lineRule="exact"/>
              <w:jc w:val="center"/>
              <w:rPr>
                <w:rFonts w:eastAsia="仿宋_GB2312"/>
                <w:bCs/>
                <w:sz w:val="28"/>
                <w:szCs w:val="24"/>
              </w:rPr>
            </w:pPr>
            <w:r>
              <w:rPr>
                <w:rFonts w:eastAsia="仿宋_GB2312"/>
                <w:bCs/>
                <w:sz w:val="28"/>
                <w:szCs w:val="24"/>
              </w:rPr>
              <w:t>相关内容</w:t>
            </w:r>
          </w:p>
        </w:tc>
        <w:tc>
          <w:tcPr>
            <w:tcW w:w="6755" w:type="dxa"/>
            <w:tcBorders>
              <w:left w:val="single" w:color="auto" w:sz="4" w:space="0"/>
            </w:tcBorders>
            <w:vAlign w:val="center"/>
          </w:tcPr>
          <w:p>
            <w:pPr>
              <w:rPr>
                <w:rFonts w:eastAsia="仿宋"/>
                <w:iCs/>
                <w:sz w:val="24"/>
                <w:szCs w:val="24"/>
              </w:rPr>
            </w:pPr>
            <w:r>
              <w:rPr>
                <w:rFonts w:hint="eastAsia" w:eastAsia="仿宋_GB2312"/>
                <w:bCs/>
                <w:sz w:val="24"/>
                <w:szCs w:val="24"/>
              </w:rPr>
              <w:t>[1</w:t>
            </w:r>
            <w:r>
              <w:rPr>
                <w:rFonts w:eastAsia="仿宋_GB2312"/>
                <w:bCs/>
                <w:sz w:val="24"/>
                <w:szCs w:val="24"/>
              </w:rPr>
              <w:t xml:space="preserve">] </w:t>
            </w:r>
            <w:r>
              <w:rPr>
                <w:rFonts w:eastAsia="仿宋"/>
                <w:bCs/>
                <w:iCs/>
                <w:sz w:val="24"/>
                <w:szCs w:val="24"/>
              </w:rPr>
              <w:t>Z. Tang, X. Liu*, B. Su, Q. Chen, H</w:t>
            </w:r>
            <w:r>
              <w:rPr>
                <w:rFonts w:eastAsia="仿宋"/>
                <w:iCs/>
                <w:sz w:val="24"/>
                <w:szCs w:val="24"/>
              </w:rPr>
              <w:t xml:space="preserve">. Cao, Y. Yun, Y. Xu, B.D. Hammock, Ultrasensitive and rapid detection of ochratoxin A in agro-products by a nanobody-mediated FRET-based immunosensor. </w:t>
            </w:r>
            <w:r>
              <w:rPr>
                <w:rFonts w:eastAsia="仿宋"/>
                <w:bCs/>
                <w:i/>
                <w:sz w:val="24"/>
                <w:szCs w:val="24"/>
              </w:rPr>
              <w:t>Journal of Hazardous Materials</w:t>
            </w:r>
            <w:r>
              <w:rPr>
                <w:rFonts w:eastAsia="仿宋"/>
                <w:bCs/>
                <w:iCs/>
                <w:sz w:val="24"/>
                <w:szCs w:val="24"/>
              </w:rPr>
              <w:t xml:space="preserve">, </w:t>
            </w:r>
            <w:r>
              <w:rPr>
                <w:rFonts w:eastAsia="仿宋"/>
                <w:iCs/>
                <w:sz w:val="24"/>
                <w:szCs w:val="24"/>
              </w:rPr>
              <w:t>20</w:t>
            </w:r>
            <w:r>
              <w:rPr>
                <w:rFonts w:hint="eastAsia" w:eastAsia="仿宋"/>
                <w:iCs/>
                <w:sz w:val="24"/>
                <w:szCs w:val="24"/>
              </w:rPr>
              <w:t>20, 387</w:t>
            </w:r>
            <w:r>
              <w:rPr>
                <w:rFonts w:eastAsia="仿宋"/>
                <w:iCs/>
                <w:sz w:val="24"/>
                <w:szCs w:val="24"/>
              </w:rPr>
              <w:t xml:space="preserve">: </w:t>
            </w:r>
            <w:r>
              <w:rPr>
                <w:rFonts w:hint="eastAsia" w:eastAsia="仿宋"/>
                <w:iCs/>
                <w:sz w:val="24"/>
                <w:szCs w:val="24"/>
              </w:rPr>
              <w:t>121678.</w:t>
            </w:r>
          </w:p>
          <w:p>
            <w:pPr>
              <w:rPr>
                <w:rFonts w:eastAsia="仿宋"/>
                <w:iCs/>
                <w:sz w:val="24"/>
                <w:szCs w:val="24"/>
              </w:rPr>
            </w:pPr>
            <w:r>
              <w:rPr>
                <w:rFonts w:eastAsia="仿宋"/>
                <w:iCs/>
                <w:sz w:val="24"/>
                <w:szCs w:val="24"/>
              </w:rPr>
              <w:t xml:space="preserve">[2] </w:t>
            </w:r>
            <w:r>
              <w:rPr>
                <w:rFonts w:eastAsia="仿宋"/>
                <w:bCs/>
                <w:iCs/>
                <w:sz w:val="24"/>
                <w:szCs w:val="24"/>
              </w:rPr>
              <w:t>Z. Sun, J. Lv, X. Liu*</w:t>
            </w:r>
            <w:r>
              <w:rPr>
                <w:rFonts w:hint="eastAsia" w:eastAsia="仿宋"/>
                <w:sz w:val="24"/>
                <w:szCs w:val="24"/>
              </w:rPr>
              <w:t>,</w:t>
            </w:r>
            <w:r>
              <w:rPr>
                <w:rFonts w:eastAsia="仿宋"/>
                <w:sz w:val="24"/>
                <w:szCs w:val="24"/>
              </w:rPr>
              <w:t xml:space="preserve"> Z. Tang, X. Wang, Y. Xu, B.D. Hammock,</w:t>
            </w:r>
            <w:r>
              <w:rPr>
                <w:rFonts w:eastAsia="仿宋"/>
                <w:iCs/>
                <w:sz w:val="24"/>
                <w:szCs w:val="24"/>
              </w:rPr>
              <w:t xml:space="preserve"> Development of a nanobody-AviTag fusion protein and its application in a streptavidin-biotin-amplified enzyme-linked immunosorbent assay for ochratoxin A in cereal.</w:t>
            </w:r>
            <w:r>
              <w:rPr>
                <w:rFonts w:eastAsia="仿宋"/>
                <w:bCs/>
                <w:sz w:val="24"/>
                <w:szCs w:val="24"/>
              </w:rPr>
              <w:t xml:space="preserve"> </w:t>
            </w:r>
            <w:r>
              <w:rPr>
                <w:rFonts w:eastAsia="仿宋"/>
                <w:bCs/>
                <w:i/>
                <w:iCs/>
                <w:sz w:val="24"/>
                <w:szCs w:val="24"/>
              </w:rPr>
              <w:t>Analytical Chemistry</w:t>
            </w:r>
            <w:r>
              <w:rPr>
                <w:rFonts w:eastAsia="仿宋"/>
                <w:bCs/>
                <w:sz w:val="24"/>
                <w:szCs w:val="24"/>
              </w:rPr>
              <w:t xml:space="preserve">, </w:t>
            </w:r>
            <w:r>
              <w:rPr>
                <w:rFonts w:eastAsia="仿宋"/>
                <w:iCs/>
                <w:sz w:val="24"/>
                <w:szCs w:val="24"/>
              </w:rPr>
              <w:t xml:space="preserve">2018, </w:t>
            </w:r>
            <w:r>
              <w:rPr>
                <w:rFonts w:eastAsia="仿宋"/>
                <w:sz w:val="24"/>
                <w:szCs w:val="24"/>
              </w:rPr>
              <w:t>90</w:t>
            </w:r>
            <w:r>
              <w:rPr>
                <w:rFonts w:eastAsia="仿宋"/>
                <w:iCs/>
                <w:sz w:val="24"/>
                <w:szCs w:val="24"/>
              </w:rPr>
              <w:t>: 10628-10634.</w:t>
            </w:r>
          </w:p>
          <w:p>
            <w:pPr>
              <w:rPr>
                <w:rFonts w:eastAsia="仿宋"/>
                <w:iCs/>
                <w:sz w:val="24"/>
                <w:szCs w:val="24"/>
              </w:rPr>
            </w:pPr>
            <w:r>
              <w:rPr>
                <w:rFonts w:eastAsia="仿宋_GB2312"/>
                <w:bCs/>
                <w:sz w:val="24"/>
                <w:szCs w:val="24"/>
              </w:rPr>
              <w:t xml:space="preserve">[3] </w:t>
            </w:r>
            <w:r>
              <w:rPr>
                <w:rFonts w:eastAsia="仿宋"/>
                <w:bCs/>
                <w:iCs/>
                <w:sz w:val="24"/>
                <w:szCs w:val="24"/>
              </w:rPr>
              <w:t>X. Liu</w:t>
            </w:r>
            <w:r>
              <w:rPr>
                <w:rFonts w:hint="eastAsia" w:eastAsia="仿宋"/>
                <w:sz w:val="24"/>
                <w:szCs w:val="24"/>
              </w:rPr>
              <w:t>,</w:t>
            </w:r>
            <w:r>
              <w:rPr>
                <w:rFonts w:eastAsia="仿宋"/>
                <w:sz w:val="24"/>
                <w:szCs w:val="24"/>
              </w:rPr>
              <w:t xml:space="preserve"> Y. Xu</w:t>
            </w:r>
            <w:r>
              <w:rPr>
                <w:rFonts w:eastAsia="仿宋"/>
                <w:bCs/>
                <w:iCs/>
                <w:sz w:val="24"/>
                <w:szCs w:val="24"/>
              </w:rPr>
              <w:t>*</w:t>
            </w:r>
            <w:r>
              <w:rPr>
                <w:rFonts w:eastAsia="仿宋"/>
                <w:sz w:val="24"/>
                <w:szCs w:val="24"/>
              </w:rPr>
              <w:t>, D. Wan, Y. Xiong, Z. He, X. Wang, S.J. Gee, D. Ryu, B.D. Hammock</w:t>
            </w:r>
            <w:r>
              <w:rPr>
                <w:rFonts w:eastAsia="仿宋"/>
                <w:iCs/>
                <w:sz w:val="24"/>
                <w:szCs w:val="24"/>
              </w:rPr>
              <w:t xml:space="preserve">, Development of a nanobody-alkaline phosphatase fusion protein and its application in a highly sensitive direct competitive fluorescence enzyme immunoassay for detection of ochratoxin A in cereal. </w:t>
            </w:r>
            <w:r>
              <w:rPr>
                <w:rFonts w:eastAsia="仿宋"/>
                <w:bCs/>
                <w:i/>
                <w:iCs/>
                <w:sz w:val="24"/>
                <w:szCs w:val="24"/>
              </w:rPr>
              <w:t>Analytical Chemistry</w:t>
            </w:r>
            <w:r>
              <w:rPr>
                <w:rFonts w:eastAsia="仿宋"/>
                <w:bCs/>
                <w:sz w:val="24"/>
                <w:szCs w:val="24"/>
              </w:rPr>
              <w:t xml:space="preserve">, </w:t>
            </w:r>
            <w:r>
              <w:rPr>
                <w:rFonts w:eastAsia="仿宋"/>
                <w:iCs/>
                <w:sz w:val="24"/>
                <w:szCs w:val="24"/>
              </w:rPr>
              <w:t xml:space="preserve">2015, </w:t>
            </w:r>
            <w:r>
              <w:rPr>
                <w:rFonts w:eastAsia="仿宋"/>
                <w:sz w:val="24"/>
                <w:szCs w:val="24"/>
              </w:rPr>
              <w:t>87</w:t>
            </w:r>
            <w:r>
              <w:rPr>
                <w:rFonts w:eastAsia="仿宋"/>
                <w:iCs/>
                <w:sz w:val="24"/>
                <w:szCs w:val="24"/>
              </w:rPr>
              <w:t>: 1387-1394.</w:t>
            </w:r>
          </w:p>
          <w:p>
            <w:pPr>
              <w:rPr>
                <w:rFonts w:eastAsia="仿宋"/>
                <w:iCs/>
                <w:sz w:val="24"/>
                <w:szCs w:val="24"/>
              </w:rPr>
            </w:pPr>
            <w:r>
              <w:rPr>
                <w:rFonts w:eastAsia="仿宋"/>
                <w:iCs/>
                <w:sz w:val="24"/>
                <w:szCs w:val="24"/>
              </w:rPr>
              <w:t>[4] X. Liu</w:t>
            </w:r>
            <w:r>
              <w:rPr>
                <w:rFonts w:hint="eastAsia" w:eastAsia="仿宋"/>
                <w:sz w:val="24"/>
                <w:szCs w:val="24"/>
              </w:rPr>
              <w:t>,</w:t>
            </w:r>
            <w:r>
              <w:rPr>
                <w:rFonts w:eastAsia="仿宋"/>
                <w:sz w:val="24"/>
                <w:szCs w:val="24"/>
              </w:rPr>
              <w:t xml:space="preserve"> Y. Xu</w:t>
            </w:r>
            <w:r>
              <w:rPr>
                <w:rFonts w:eastAsia="仿宋"/>
                <w:iCs/>
                <w:sz w:val="24"/>
                <w:szCs w:val="24"/>
              </w:rPr>
              <w:t>*</w:t>
            </w:r>
            <w:r>
              <w:rPr>
                <w:rFonts w:eastAsia="仿宋"/>
                <w:sz w:val="24"/>
                <w:szCs w:val="24"/>
              </w:rPr>
              <w:t>, Y. Xiong, Z. Tu, Z, He, Y. Qiu, J. Fu, S.J. Gee, B.D. Hammo</w:t>
            </w:r>
            <w:bookmarkStart w:id="2" w:name="_GoBack"/>
            <w:bookmarkEnd w:id="2"/>
            <w:r>
              <w:rPr>
                <w:rFonts w:eastAsia="仿宋"/>
                <w:sz w:val="24"/>
                <w:szCs w:val="24"/>
              </w:rPr>
              <w:t>ck,</w:t>
            </w:r>
            <w:r>
              <w:rPr>
                <w:rFonts w:eastAsia="仿宋"/>
                <w:iCs/>
                <w:sz w:val="24"/>
                <w:szCs w:val="24"/>
              </w:rPr>
              <w:t xml:space="preserve"> VHH-phage based competitive real-time immuno-polymerase chain reaction for ultrasensitive detection of ochratoxin A in cereal.</w:t>
            </w:r>
            <w:r>
              <w:rPr>
                <w:rFonts w:eastAsia="仿宋"/>
                <w:i/>
                <w:iCs/>
                <w:sz w:val="24"/>
                <w:szCs w:val="24"/>
              </w:rPr>
              <w:t xml:space="preserve"> Analytical Chemistry</w:t>
            </w:r>
            <w:r>
              <w:rPr>
                <w:rFonts w:eastAsia="仿宋"/>
                <w:sz w:val="24"/>
                <w:szCs w:val="24"/>
              </w:rPr>
              <w:t xml:space="preserve">, 2014, </w:t>
            </w:r>
            <w:r>
              <w:rPr>
                <w:rFonts w:eastAsia="仿宋"/>
                <w:iCs/>
                <w:sz w:val="24"/>
                <w:szCs w:val="24"/>
              </w:rPr>
              <w:t>86</w:t>
            </w:r>
            <w:r>
              <w:rPr>
                <w:rFonts w:eastAsia="仿宋"/>
                <w:sz w:val="24"/>
                <w:szCs w:val="24"/>
              </w:rPr>
              <w:t>:</w:t>
            </w:r>
            <w:r>
              <w:rPr>
                <w:rFonts w:eastAsia="仿宋"/>
                <w:iCs/>
                <w:sz w:val="24"/>
                <w:szCs w:val="24"/>
              </w:rPr>
              <w:t xml:space="preserve"> 7471-7477.</w:t>
            </w:r>
          </w:p>
          <w:p>
            <w:pPr>
              <w:rPr>
                <w:rFonts w:eastAsia="仿宋"/>
                <w:iCs/>
                <w:sz w:val="24"/>
                <w:szCs w:val="24"/>
              </w:rPr>
            </w:pPr>
            <w:r>
              <w:rPr>
                <w:rFonts w:eastAsia="仿宋"/>
                <w:iCs/>
                <w:sz w:val="24"/>
                <w:szCs w:val="24"/>
              </w:rPr>
              <w:t xml:space="preserve">[5] </w:t>
            </w:r>
            <w:r>
              <w:rPr>
                <w:rFonts w:eastAsia="仿宋"/>
                <w:bCs/>
                <w:iCs/>
                <w:sz w:val="24"/>
                <w:szCs w:val="24"/>
              </w:rPr>
              <w:t>Z. Tang</w:t>
            </w:r>
            <w:r>
              <w:rPr>
                <w:rFonts w:eastAsia="仿宋"/>
                <w:bCs/>
                <w:iCs/>
                <w:sz w:val="24"/>
                <w:szCs w:val="24"/>
                <w:vertAlign w:val="superscript"/>
              </w:rPr>
              <w:t>1</w:t>
            </w:r>
            <w:r>
              <w:rPr>
                <w:rFonts w:eastAsia="仿宋"/>
                <w:bCs/>
                <w:iCs/>
                <w:sz w:val="24"/>
                <w:szCs w:val="24"/>
              </w:rPr>
              <w:t>, X. Liu*</w:t>
            </w:r>
            <w:r>
              <w:rPr>
                <w:rFonts w:eastAsia="仿宋"/>
                <w:bCs/>
                <w:iCs/>
                <w:sz w:val="24"/>
                <w:szCs w:val="24"/>
                <w:vertAlign w:val="superscript"/>
              </w:rPr>
              <w:t>,1</w:t>
            </w:r>
            <w:r>
              <w:rPr>
                <w:rFonts w:eastAsia="仿宋"/>
                <w:sz w:val="24"/>
                <w:szCs w:val="24"/>
              </w:rPr>
              <w:t>, Y. Wang, Q. Chen, B.D. Hammock, Y. Xu,</w:t>
            </w:r>
            <w:r>
              <w:rPr>
                <w:rFonts w:eastAsia="仿宋"/>
                <w:iCs/>
                <w:sz w:val="24"/>
                <w:szCs w:val="24"/>
              </w:rPr>
              <w:t xml:space="preserve"> Nanobody-based fluorescence resonance energy transfer immunoassay for noncompetitive and simultaneous detection of ochratoxin a and ochratoxin b.</w:t>
            </w:r>
            <w:r>
              <w:rPr>
                <w:rFonts w:eastAsia="仿宋"/>
                <w:bCs/>
                <w:sz w:val="24"/>
                <w:szCs w:val="24"/>
              </w:rPr>
              <w:t xml:space="preserve"> </w:t>
            </w:r>
            <w:r>
              <w:rPr>
                <w:rFonts w:eastAsia="仿宋"/>
                <w:bCs/>
                <w:i/>
                <w:iCs/>
                <w:sz w:val="24"/>
                <w:szCs w:val="24"/>
              </w:rPr>
              <w:t>Environmental Pollution</w:t>
            </w:r>
            <w:r>
              <w:rPr>
                <w:rFonts w:eastAsia="仿宋"/>
                <w:bCs/>
                <w:sz w:val="24"/>
                <w:szCs w:val="24"/>
              </w:rPr>
              <w:t xml:space="preserve">, </w:t>
            </w:r>
            <w:r>
              <w:rPr>
                <w:rFonts w:eastAsia="仿宋"/>
                <w:iCs/>
                <w:sz w:val="24"/>
                <w:szCs w:val="24"/>
              </w:rPr>
              <w:t xml:space="preserve">2019, </w:t>
            </w:r>
            <w:r>
              <w:rPr>
                <w:rFonts w:eastAsia="仿宋"/>
                <w:sz w:val="24"/>
                <w:szCs w:val="24"/>
              </w:rPr>
              <w:t>251</w:t>
            </w:r>
            <w:r>
              <w:rPr>
                <w:rFonts w:eastAsia="仿宋"/>
                <w:iCs/>
                <w:sz w:val="24"/>
                <w:szCs w:val="24"/>
              </w:rPr>
              <w:t>: 238-245.</w:t>
            </w:r>
          </w:p>
          <w:p>
            <w:pPr>
              <w:rPr>
                <w:rFonts w:eastAsia="仿宋"/>
                <w:bCs/>
                <w:iCs/>
                <w:sz w:val="24"/>
                <w:szCs w:val="24"/>
              </w:rPr>
            </w:pPr>
            <w:r>
              <w:rPr>
                <w:rFonts w:eastAsia="仿宋"/>
                <w:iCs/>
                <w:sz w:val="24"/>
                <w:szCs w:val="24"/>
              </w:rPr>
              <w:t xml:space="preserve">[6] </w:t>
            </w:r>
            <w:r>
              <w:rPr>
                <w:rFonts w:eastAsia="仿宋"/>
                <w:bCs/>
                <w:iCs/>
                <w:sz w:val="24"/>
                <w:szCs w:val="24"/>
              </w:rPr>
              <w:t>X. Wang</w:t>
            </w:r>
            <w:r>
              <w:rPr>
                <w:rFonts w:eastAsia="仿宋"/>
                <w:bCs/>
                <w:iCs/>
                <w:sz w:val="24"/>
                <w:szCs w:val="24"/>
                <w:vertAlign w:val="superscript"/>
              </w:rPr>
              <w:t>1</w:t>
            </w:r>
            <w:r>
              <w:rPr>
                <w:rFonts w:eastAsia="仿宋"/>
                <w:bCs/>
                <w:iCs/>
                <w:sz w:val="24"/>
                <w:szCs w:val="24"/>
              </w:rPr>
              <w:t>, Q. Chen</w:t>
            </w:r>
            <w:r>
              <w:rPr>
                <w:rFonts w:eastAsia="仿宋"/>
                <w:bCs/>
                <w:iCs/>
                <w:sz w:val="24"/>
                <w:szCs w:val="24"/>
                <w:vertAlign w:val="superscript"/>
              </w:rPr>
              <w:t>1</w:t>
            </w:r>
            <w:r>
              <w:rPr>
                <w:rFonts w:eastAsia="仿宋"/>
                <w:bCs/>
                <w:iCs/>
                <w:sz w:val="24"/>
                <w:szCs w:val="24"/>
              </w:rPr>
              <w:t>, Z. Sun</w:t>
            </w:r>
            <w:r>
              <w:rPr>
                <w:rFonts w:eastAsia="仿宋"/>
                <w:bCs/>
                <w:iCs/>
                <w:sz w:val="24"/>
                <w:szCs w:val="24"/>
                <w:vertAlign w:val="superscript"/>
              </w:rPr>
              <w:t>1</w:t>
            </w:r>
            <w:r>
              <w:rPr>
                <w:rFonts w:eastAsia="仿宋"/>
                <w:bCs/>
                <w:iCs/>
                <w:sz w:val="24"/>
                <w:szCs w:val="24"/>
              </w:rPr>
              <w:t xml:space="preserve">, Y. Wang, B. Su, C. Zhang, H. Cao, X. Liu*, Nanobody affinity improvement: Directed evolution of the anti-ochratoxin A single domain antibody. </w:t>
            </w:r>
            <w:r>
              <w:rPr>
                <w:rFonts w:eastAsia="仿宋"/>
                <w:bCs/>
                <w:i/>
                <w:sz w:val="24"/>
                <w:szCs w:val="24"/>
              </w:rPr>
              <w:t>International Journal of Biological Macromolecules</w:t>
            </w:r>
            <w:r>
              <w:rPr>
                <w:rFonts w:eastAsia="仿宋"/>
                <w:bCs/>
                <w:iCs/>
                <w:sz w:val="24"/>
                <w:szCs w:val="24"/>
              </w:rPr>
              <w:t>, 2020, 151: 312-321.</w:t>
            </w:r>
          </w:p>
          <w:p>
            <w:pPr>
              <w:rPr>
                <w:rFonts w:eastAsia="仿宋"/>
                <w:iCs/>
                <w:sz w:val="24"/>
                <w:szCs w:val="24"/>
              </w:rPr>
            </w:pPr>
            <w:r>
              <w:rPr>
                <w:rFonts w:eastAsia="仿宋"/>
                <w:bCs/>
                <w:iCs/>
                <w:sz w:val="24"/>
                <w:szCs w:val="24"/>
              </w:rPr>
              <w:t>[7] Z. Tang, X. Wang, J. Lv, X. Hu, X. Liu*</w:t>
            </w:r>
            <w:r>
              <w:rPr>
                <w:rFonts w:eastAsia="仿宋"/>
                <w:sz w:val="24"/>
                <w:szCs w:val="24"/>
              </w:rPr>
              <w:t xml:space="preserve">, </w:t>
            </w:r>
            <w:r>
              <w:rPr>
                <w:rFonts w:eastAsia="仿宋"/>
                <w:iCs/>
                <w:sz w:val="24"/>
                <w:szCs w:val="24"/>
              </w:rPr>
              <w:t>One-step detection of ochratoxin A in cereal by dot immunoassay using a nanobody-alkaline phosphatase fusion protein.</w:t>
            </w:r>
            <w:r>
              <w:rPr>
                <w:rFonts w:eastAsia="仿宋"/>
                <w:bCs/>
                <w:i/>
                <w:iCs/>
                <w:sz w:val="24"/>
                <w:szCs w:val="24"/>
              </w:rPr>
              <w:t xml:space="preserve"> Food Control</w:t>
            </w:r>
            <w:r>
              <w:rPr>
                <w:rFonts w:eastAsia="仿宋"/>
                <w:bCs/>
                <w:iCs/>
                <w:sz w:val="24"/>
                <w:szCs w:val="24"/>
              </w:rPr>
              <w:t xml:space="preserve">, </w:t>
            </w:r>
            <w:r>
              <w:rPr>
                <w:rFonts w:eastAsia="仿宋"/>
                <w:iCs/>
                <w:sz w:val="24"/>
                <w:szCs w:val="24"/>
              </w:rPr>
              <w:t xml:space="preserve">2018, </w:t>
            </w:r>
            <w:r>
              <w:rPr>
                <w:rFonts w:eastAsia="仿宋"/>
                <w:sz w:val="24"/>
                <w:szCs w:val="24"/>
              </w:rPr>
              <w:t>92</w:t>
            </w:r>
            <w:r>
              <w:rPr>
                <w:rFonts w:eastAsia="仿宋"/>
                <w:iCs/>
                <w:sz w:val="24"/>
                <w:szCs w:val="24"/>
              </w:rPr>
              <w:t>: 430-436.</w:t>
            </w:r>
          </w:p>
          <w:p>
            <w:pPr>
              <w:rPr>
                <w:rFonts w:eastAsia="仿宋_GB2312"/>
                <w:szCs w:val="21"/>
              </w:rPr>
            </w:pPr>
            <w:r>
              <w:rPr>
                <w:rFonts w:eastAsia="仿宋"/>
                <w:iCs/>
                <w:sz w:val="24"/>
                <w:szCs w:val="24"/>
              </w:rPr>
              <w:t>[8] X. Liu</w:t>
            </w:r>
            <w:r>
              <w:rPr>
                <w:rFonts w:eastAsia="仿宋"/>
                <w:bCs/>
                <w:iCs/>
                <w:sz w:val="24"/>
                <w:szCs w:val="24"/>
              </w:rPr>
              <w:t>*</w:t>
            </w:r>
            <w:r>
              <w:rPr>
                <w:rFonts w:eastAsia="仿宋"/>
                <w:iCs/>
                <w:sz w:val="24"/>
                <w:szCs w:val="24"/>
              </w:rPr>
              <w:t xml:space="preserve">, Z. Tang, Z. Duan, Z. He**, M. Shu, X. Wang, S.J. Gee, B.D. Hammock, Y. Xu, Nanobody-based enzyme immunoassay for ochratoxin A in cereal with high resistance to matrix interference. </w:t>
            </w:r>
            <w:r>
              <w:rPr>
                <w:rFonts w:eastAsia="仿宋"/>
                <w:i/>
                <w:sz w:val="24"/>
                <w:szCs w:val="24"/>
              </w:rPr>
              <w:t>Talanta</w:t>
            </w:r>
            <w:r>
              <w:rPr>
                <w:rFonts w:eastAsia="仿宋"/>
                <w:iCs/>
                <w:sz w:val="24"/>
                <w:szCs w:val="24"/>
              </w:rPr>
              <w:t>, 2017, 164: 154-158.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4" w:hRule="atLeast"/>
          <w:jc w:val="center"/>
        </w:trPr>
        <w:tc>
          <w:tcPr>
            <w:tcW w:w="2269" w:type="dxa"/>
            <w:vAlign w:val="center"/>
          </w:tcPr>
          <w:p>
            <w:pPr>
              <w:spacing w:line="440" w:lineRule="exact"/>
              <w:jc w:val="center"/>
              <w:rPr>
                <w:rFonts w:eastAsia="仿宋_GB2312"/>
                <w:bCs/>
                <w:sz w:val="28"/>
                <w:szCs w:val="24"/>
                <w:lang w:val="en"/>
              </w:rPr>
            </w:pPr>
            <w:r>
              <w:rPr>
                <w:rFonts w:eastAsia="仿宋_GB2312"/>
                <w:bCs/>
                <w:sz w:val="28"/>
                <w:szCs w:val="24"/>
              </w:rPr>
              <w:t>主要完成人</w:t>
            </w:r>
          </w:p>
        </w:tc>
        <w:tc>
          <w:tcPr>
            <w:tcW w:w="6755" w:type="dxa"/>
            <w:vAlign w:val="center"/>
          </w:tcPr>
          <w:p>
            <w:pPr>
              <w:spacing w:line="440" w:lineRule="exact"/>
              <w:rPr>
                <w:rFonts w:eastAsia="仿宋"/>
                <w:bCs/>
                <w:sz w:val="24"/>
                <w:szCs w:val="24"/>
              </w:rPr>
            </w:pPr>
            <w:r>
              <w:rPr>
                <w:rFonts w:eastAsia="仿宋"/>
                <w:bCs/>
                <w:sz w:val="24"/>
                <w:szCs w:val="24"/>
              </w:rPr>
              <w:t>刘星，排名1，教授，海南大学；</w:t>
            </w:r>
          </w:p>
          <w:p>
            <w:pPr>
              <w:spacing w:line="440" w:lineRule="exact"/>
              <w:rPr>
                <w:rFonts w:eastAsia="仿宋"/>
                <w:bCs/>
                <w:sz w:val="24"/>
                <w:szCs w:val="24"/>
              </w:rPr>
            </w:pPr>
            <w:r>
              <w:rPr>
                <w:rFonts w:eastAsia="仿宋"/>
                <w:bCs/>
                <w:sz w:val="24"/>
                <w:szCs w:val="24"/>
              </w:rPr>
              <w:t>孙志昶，排名2，副教授，海南大学；</w:t>
            </w:r>
          </w:p>
          <w:p>
            <w:pPr>
              <w:spacing w:line="440" w:lineRule="exact"/>
              <w:rPr>
                <w:rFonts w:eastAsia="仿宋"/>
                <w:bCs/>
                <w:sz w:val="24"/>
                <w:szCs w:val="24"/>
              </w:rPr>
            </w:pPr>
            <w:r>
              <w:rPr>
                <w:rFonts w:eastAsia="仿宋"/>
                <w:bCs/>
                <w:sz w:val="24"/>
                <w:szCs w:val="24"/>
              </w:rPr>
              <w:t>贺贞云，排名3，讲师，海南经贸职业技术学院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jc w:val="center"/>
        </w:trPr>
        <w:tc>
          <w:tcPr>
            <w:tcW w:w="2269" w:type="dxa"/>
            <w:vAlign w:val="center"/>
          </w:tcPr>
          <w:p>
            <w:pPr>
              <w:spacing w:line="440" w:lineRule="exact"/>
              <w:jc w:val="center"/>
              <w:rPr>
                <w:rFonts w:eastAsia="仿宋"/>
                <w:bCs/>
                <w:sz w:val="24"/>
                <w:szCs w:val="24"/>
              </w:rPr>
            </w:pPr>
            <w:r>
              <w:rPr>
                <w:rFonts w:eastAsia="仿宋_GB2312"/>
                <w:bCs/>
                <w:sz w:val="28"/>
                <w:szCs w:val="24"/>
              </w:rPr>
              <w:t>主要完成单位</w:t>
            </w:r>
          </w:p>
        </w:tc>
        <w:tc>
          <w:tcPr>
            <w:tcW w:w="6755" w:type="dxa"/>
            <w:vAlign w:val="center"/>
          </w:tcPr>
          <w:p>
            <w:pPr>
              <w:spacing w:line="440" w:lineRule="exact"/>
              <w:jc w:val="left"/>
              <w:rPr>
                <w:rFonts w:eastAsia="仿宋"/>
                <w:bCs/>
                <w:sz w:val="24"/>
                <w:szCs w:val="24"/>
              </w:rPr>
            </w:pPr>
            <w:r>
              <w:rPr>
                <w:rFonts w:eastAsia="仿宋"/>
                <w:bCs/>
                <w:sz w:val="24"/>
                <w:szCs w:val="24"/>
              </w:rPr>
              <w:t>1.单位名称：海南大学</w:t>
            </w:r>
          </w:p>
          <w:p>
            <w:pPr>
              <w:spacing w:line="440" w:lineRule="exact"/>
              <w:jc w:val="left"/>
              <w:rPr>
                <w:rFonts w:eastAsia="仿宋"/>
                <w:bCs/>
                <w:sz w:val="24"/>
                <w:szCs w:val="24"/>
              </w:rPr>
            </w:pPr>
            <w:r>
              <w:rPr>
                <w:rFonts w:eastAsia="仿宋"/>
                <w:bCs/>
                <w:sz w:val="24"/>
                <w:szCs w:val="24"/>
              </w:rPr>
              <w:t>2.单位名称：海南经贸职业技术学院</w:t>
            </w:r>
          </w:p>
        </w:tc>
      </w:tr>
    </w:tbl>
    <w:p/>
    <w:p>
      <w:pPr>
        <w:spacing w:line="440" w:lineRule="exact"/>
        <w:outlineLvl w:val="1"/>
        <w:rPr>
          <w:rFonts w:ascii="仿宋_GB2312" w:hAnsi="仿宋_GB2312" w:eastAsia="仿宋_GB2312" w:cs="仿宋_GB2312"/>
          <w:b/>
          <w:bCs/>
          <w:sz w:val="32"/>
          <w:szCs w:val="32"/>
        </w:rPr>
      </w:pPr>
    </w:p>
    <w:sectPr>
      <w:headerReference r:id="rId3" w:type="default"/>
      <w:footerReference r:id="rId4" w:type="default"/>
      <w:pgSz w:w="12240" w:h="15840"/>
      <w:pgMar w:top="1440" w:right="1417" w:bottom="1440" w:left="1587"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1" w:fontKey="{359F282D-29BD-41C1-92AB-9A59E952D0F9}"/>
  </w:font>
  <w:font w:name="仿宋_GB2312">
    <w:altName w:val="仿宋"/>
    <w:panose1 w:val="00000000000000000000"/>
    <w:charset w:val="86"/>
    <w:family w:val="modern"/>
    <w:pitch w:val="default"/>
    <w:sig w:usb0="00000000" w:usb1="00000000" w:usb2="00000000" w:usb3="00000000" w:csb0="00040000" w:csb1="00000000"/>
    <w:embedRegular r:id="rId2" w:fontKey="{CB0BDABD-C5F0-41B8-8F9F-78DE65282F0C}"/>
  </w:font>
  <w:font w:name="仿宋">
    <w:panose1 w:val="02010609060101010101"/>
    <w:charset w:val="86"/>
    <w:family w:val="auto"/>
    <w:pitch w:val="default"/>
    <w:sig w:usb0="800002BF" w:usb1="38CF7CFA" w:usb2="00000016" w:usb3="00000000" w:csb0="00040001" w:csb1="00000000"/>
    <w:embedRegular r:id="rId3" w:fontKey="{38578A6D-0359-4988-922D-A280A0905D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4901565</wp:posOffset>
              </wp:positionH>
              <wp:positionV relativeFrom="paragraph">
                <wp:posOffset>-92710</wp:posOffset>
              </wp:positionV>
              <wp:extent cx="974090" cy="23495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974090" cy="234950"/>
                      </a:xfrm>
                      <a:prstGeom prst="rect">
                        <a:avLst/>
                      </a:prstGeom>
                      <a:noFill/>
                      <a:ln>
                        <a:noFill/>
                      </a:ln>
                    </wps:spPr>
                    <wps:txbx>
                      <w:txbxContent>
                        <w:p>
                          <w:pPr>
                            <w:snapToGrid w:val="0"/>
                            <w:ind w:right="40" w:rightChars="19"/>
                            <w:rPr>
                              <w:rFonts w:ascii="宋体" w:hAnsi="宋体" w:cs="宋体"/>
                              <w:sz w:val="28"/>
                              <w:szCs w:val="28"/>
                            </w:rPr>
                          </w:pP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p>
                          <w:pPr>
                            <w:snapToGrid w:val="0"/>
                            <w:rPr>
                              <w:sz w:val="18"/>
                            </w:rPr>
                          </w:pPr>
                        </w:p>
                      </w:txbxContent>
                    </wps:txbx>
                    <wps:bodyPr lIns="0" tIns="0" rIns="0" bIns="0" upright="1"/>
                  </wps:wsp>
                </a:graphicData>
              </a:graphic>
            </wp:anchor>
          </w:drawing>
        </mc:Choice>
        <mc:Fallback>
          <w:pict>
            <v:shape id="文本框 1025" o:spid="_x0000_s1026" o:spt="202" type="#_x0000_t202" style="position:absolute;left:0pt;margin-left:385.95pt;margin-top:-7.3pt;height:18.5pt;width:76.7pt;mso-position-horizontal-relative:margin;z-index:251659264;mso-width-relative:page;mso-height-relative:page;" filled="f" stroked="f" coordsize="21600,21600" o:gfxdata="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CA+r9oAAAAKAQAADwAAAAAAAAABACAAAAAiAAAAZHJzL2Rvd25yZXYueG1s&#10;UEsBAhQAFAAAAAgAh07iQJ+3/eG9AQAAdAMAAA4AAAAAAAAAAQAgAAAAKQEAAGRycy9lMm9Eb2Mu&#10;eG1sUEsFBgAAAAAGAAYAWQEAAFgFAAAAAA==&#10;">
              <v:fill on="f" focussize="0,0"/>
              <v:stroke on="f"/>
              <v:imagedata o:title=""/>
              <o:lock v:ext="edit" aspectratio="f"/>
              <v:textbox inset="0mm,0mm,0mm,0mm">
                <w:txbxContent>
                  <w:p>
                    <w:pPr>
                      <w:snapToGrid w:val="0"/>
                      <w:ind w:right="40" w:rightChars="19"/>
                      <w:rPr>
                        <w:rFonts w:ascii="宋体" w:hAnsi="宋体" w:cs="宋体"/>
                        <w:sz w:val="28"/>
                        <w:szCs w:val="28"/>
                      </w:rPr>
                    </w:pP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500"/>
  <w:drawingGridHorizontalSpacing w:val="1"/>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6561"/>
    <w:rsid w:val="0010337C"/>
    <w:rsid w:val="00123237"/>
    <w:rsid w:val="00125FC5"/>
    <w:rsid w:val="00172A27"/>
    <w:rsid w:val="001C6E5A"/>
    <w:rsid w:val="001E504C"/>
    <w:rsid w:val="001F6907"/>
    <w:rsid w:val="003714EF"/>
    <w:rsid w:val="00570E42"/>
    <w:rsid w:val="00636784"/>
    <w:rsid w:val="006B478E"/>
    <w:rsid w:val="00752816"/>
    <w:rsid w:val="007A1324"/>
    <w:rsid w:val="008043A8"/>
    <w:rsid w:val="009E55F5"/>
    <w:rsid w:val="00A33334"/>
    <w:rsid w:val="00A34937"/>
    <w:rsid w:val="00A63798"/>
    <w:rsid w:val="00A82E22"/>
    <w:rsid w:val="00AF5E91"/>
    <w:rsid w:val="00BD69AB"/>
    <w:rsid w:val="00BF437B"/>
    <w:rsid w:val="00C10E01"/>
    <w:rsid w:val="00C85039"/>
    <w:rsid w:val="00CA6317"/>
    <w:rsid w:val="00D14A9E"/>
    <w:rsid w:val="00DB2A73"/>
    <w:rsid w:val="00EB55B7"/>
    <w:rsid w:val="00EC6A5F"/>
    <w:rsid w:val="2ADE9371"/>
    <w:rsid w:val="3ECB47D7"/>
    <w:rsid w:val="5DDD0D71"/>
    <w:rsid w:val="6FF74C7A"/>
    <w:rsid w:val="7ADC37DD"/>
    <w:rsid w:val="7BFF7F87"/>
    <w:rsid w:val="7EEF20F4"/>
    <w:rsid w:val="7F5F3CBC"/>
    <w:rsid w:val="7FE9B98C"/>
    <w:rsid w:val="7FEB61FC"/>
    <w:rsid w:val="D8FF364E"/>
    <w:rsid w:val="F32E5334"/>
    <w:rsid w:val="FFFF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title1"/>
    <w:qFormat/>
    <w:uiPriority w:val="0"/>
    <w:rPr>
      <w:b/>
      <w:bCs/>
      <w:color w:val="999900"/>
      <w:sz w:val="24"/>
      <w:szCs w:val="24"/>
    </w:rPr>
  </w:style>
  <w:style w:type="paragraph" w:customStyle="1" w:styleId="7">
    <w:name w:val="Revision"/>
    <w:hidden/>
    <w:semiHidden/>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1576</Words>
  <Characters>2998</Characters>
  <Lines>23</Lines>
  <Paragraphs>6</Paragraphs>
  <TotalTime>246</TotalTime>
  <ScaleCrop>false</ScaleCrop>
  <LinksUpToDate>false</LinksUpToDate>
  <CharactersWithSpaces>3298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2020-06-18T15:39:00Z</dcterms:created>
  <dc:creator>唐欢</dc:creator>
  <cp:lastModifiedBy>1</cp:lastModifiedBy>
  <dcterms:modified xsi:type="dcterms:W3CDTF">2022-12-09T04:35:20Z</dcterms:modified>
  <dc:title> 附件1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9786C3C6411D4C94B244FD746E7C0352</vt:lpwstr>
  </property>
</Properties>
</file>